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AA" w:rsidRPr="009F2C4D" w:rsidRDefault="00791FAA" w:rsidP="00791FAA">
      <w:pPr>
        <w:spacing w:before="120" w:after="200"/>
        <w:jc w:val="both"/>
        <w:rPr>
          <w:b/>
          <w:lang w:val="es-ES_tradnl"/>
        </w:rPr>
      </w:pPr>
      <w:r w:rsidRPr="009F2C4D">
        <w:rPr>
          <w:b/>
          <w:lang w:val="es-ES_tradnl"/>
        </w:rPr>
        <w:t>Mẫu số 02b</w:t>
      </w:r>
    </w:p>
    <w:p w:rsidR="00791FAA" w:rsidRPr="009F2C4D" w:rsidRDefault="00791FAA" w:rsidP="00791FAA">
      <w:pPr>
        <w:spacing w:before="120" w:after="120" w:line="264" w:lineRule="auto"/>
        <w:jc w:val="both"/>
        <w:rPr>
          <w:b/>
        </w:rPr>
      </w:pPr>
    </w:p>
    <w:p w:rsidR="00791FAA" w:rsidRPr="00AB3F03" w:rsidRDefault="00791FAA" w:rsidP="00791FAA">
      <w:pPr>
        <w:spacing w:line="264" w:lineRule="auto"/>
        <w:jc w:val="center"/>
        <w:rPr>
          <w:b/>
          <w:sz w:val="28"/>
          <w:szCs w:val="28"/>
        </w:rPr>
      </w:pPr>
      <w:r w:rsidRPr="00AB3F03">
        <w:rPr>
          <w:b/>
          <w:sz w:val="28"/>
          <w:szCs w:val="28"/>
        </w:rPr>
        <w:t xml:space="preserve">BẢNG TỔNG HỢP GIÁ CHÀO CỦA DỊCH VỤ BẤT ĐỘNG SẢN </w:t>
      </w:r>
    </w:p>
    <w:p w:rsidR="00791FAA" w:rsidRPr="00AB3F03" w:rsidRDefault="00791FAA" w:rsidP="00791FAA">
      <w:pPr>
        <w:spacing w:line="264" w:lineRule="auto"/>
        <w:jc w:val="center"/>
        <w:rPr>
          <w:b/>
          <w:sz w:val="28"/>
          <w:szCs w:val="28"/>
        </w:rPr>
      </w:pPr>
      <w:r w:rsidRPr="00AB3F03">
        <w:rPr>
          <w:b/>
          <w:sz w:val="28"/>
          <w:szCs w:val="28"/>
        </w:rPr>
        <w:t>CỦA 75 Ô ĐẤT (69 Ô ĐẤT BIỆT THỰ BT-01, BT-02, BT-03,</w:t>
      </w:r>
    </w:p>
    <w:p w:rsidR="00791FAA" w:rsidRDefault="00791FAA" w:rsidP="00791FAA">
      <w:pPr>
        <w:spacing w:line="264" w:lineRule="auto"/>
        <w:jc w:val="center"/>
        <w:rPr>
          <w:b/>
        </w:rPr>
      </w:pPr>
      <w:r w:rsidRPr="00AB3F03">
        <w:rPr>
          <w:b/>
          <w:sz w:val="28"/>
          <w:szCs w:val="28"/>
        </w:rPr>
        <w:t xml:space="preserve"> 02 Ô ĐẤT LK-15, 02 Ô ĐẤT LK-16, 02 Ô ĐẤT LK-23)</w:t>
      </w:r>
    </w:p>
    <w:p w:rsidR="00791FAA" w:rsidRPr="009F2C4D" w:rsidRDefault="00791FAA" w:rsidP="00791FAA">
      <w:pPr>
        <w:spacing w:before="120" w:after="120" w:line="264" w:lineRule="auto"/>
        <w:jc w:val="center"/>
        <w:rPr>
          <w: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41"/>
        <w:gridCol w:w="3529"/>
        <w:gridCol w:w="1275"/>
        <w:gridCol w:w="1586"/>
      </w:tblGrid>
      <w:tr w:rsidR="00791FAA" w:rsidRPr="009F2C4D" w:rsidTr="0012362D">
        <w:trPr>
          <w:trHeight w:val="690"/>
        </w:trPr>
        <w:tc>
          <w:tcPr>
            <w:tcW w:w="850" w:type="dxa"/>
            <w:vMerge w:val="restart"/>
            <w:shd w:val="clear" w:color="auto" w:fill="auto"/>
            <w:vAlign w:val="center"/>
            <w:hideMark/>
          </w:tcPr>
          <w:p w:rsidR="00791FAA" w:rsidRPr="00610E5B" w:rsidRDefault="00791FAA" w:rsidP="0012362D">
            <w:pPr>
              <w:jc w:val="center"/>
              <w:rPr>
                <w:b/>
                <w:bCs/>
                <w:color w:val="000000"/>
              </w:rPr>
            </w:pPr>
          </w:p>
          <w:p w:rsidR="00791FAA" w:rsidRPr="00610E5B" w:rsidRDefault="00791FAA" w:rsidP="0012362D">
            <w:pPr>
              <w:jc w:val="center"/>
              <w:rPr>
                <w:b/>
                <w:bCs/>
                <w:color w:val="000000"/>
              </w:rPr>
            </w:pPr>
            <w:r>
              <w:rPr>
                <w:b/>
                <w:bCs/>
                <w:color w:val="000000"/>
              </w:rPr>
              <w:t>STT</w:t>
            </w:r>
          </w:p>
        </w:tc>
        <w:tc>
          <w:tcPr>
            <w:tcW w:w="2541" w:type="dxa"/>
            <w:vMerge w:val="restart"/>
            <w:shd w:val="clear" w:color="auto" w:fill="auto"/>
            <w:vAlign w:val="center"/>
            <w:hideMark/>
          </w:tcPr>
          <w:p w:rsidR="00791FAA" w:rsidRPr="00610E5B" w:rsidRDefault="00791FAA" w:rsidP="0012362D">
            <w:pPr>
              <w:jc w:val="center"/>
              <w:rPr>
                <w:b/>
                <w:bCs/>
                <w:color w:val="000000"/>
              </w:rPr>
            </w:pPr>
            <w:r w:rsidRPr="00610E5B">
              <w:rPr>
                <w:b/>
                <w:bCs/>
                <w:color w:val="000000"/>
              </w:rPr>
              <w:t>Danh mục dịch vụ</w:t>
            </w:r>
          </w:p>
        </w:tc>
        <w:tc>
          <w:tcPr>
            <w:tcW w:w="3529" w:type="dxa"/>
            <w:vMerge w:val="restart"/>
            <w:shd w:val="clear" w:color="auto" w:fill="auto"/>
            <w:vAlign w:val="center"/>
            <w:hideMark/>
          </w:tcPr>
          <w:p w:rsidR="00791FAA" w:rsidRPr="00610E5B" w:rsidRDefault="00791FAA" w:rsidP="0012362D">
            <w:pPr>
              <w:jc w:val="center"/>
              <w:rPr>
                <w:b/>
                <w:bCs/>
                <w:color w:val="000000"/>
              </w:rPr>
            </w:pPr>
            <w:r w:rsidRPr="00610E5B">
              <w:rPr>
                <w:b/>
                <w:bCs/>
                <w:color w:val="000000"/>
              </w:rPr>
              <w:t>Mô tả dịch vụ</w:t>
            </w:r>
          </w:p>
        </w:tc>
        <w:tc>
          <w:tcPr>
            <w:tcW w:w="1275" w:type="dxa"/>
            <w:vMerge w:val="restart"/>
            <w:shd w:val="clear" w:color="auto" w:fill="auto"/>
            <w:vAlign w:val="center"/>
          </w:tcPr>
          <w:p w:rsidR="00791FAA" w:rsidRPr="00610E5B" w:rsidRDefault="00791FAA" w:rsidP="0012362D">
            <w:pPr>
              <w:jc w:val="center"/>
              <w:rPr>
                <w:b/>
                <w:bCs/>
                <w:color w:val="000000"/>
              </w:rPr>
            </w:pPr>
            <w:r w:rsidRPr="00610E5B">
              <w:rPr>
                <w:b/>
                <w:bCs/>
                <w:color w:val="000000"/>
              </w:rPr>
              <w:t>Đơn giá (% giá trị hợp đồng chuyển nhượng)</w:t>
            </w:r>
          </w:p>
        </w:tc>
        <w:tc>
          <w:tcPr>
            <w:tcW w:w="1586" w:type="dxa"/>
            <w:vMerge w:val="restart"/>
            <w:shd w:val="clear" w:color="auto" w:fill="auto"/>
            <w:vAlign w:val="center"/>
          </w:tcPr>
          <w:p w:rsidR="00791FAA" w:rsidRPr="00610E5B" w:rsidRDefault="00791FAA" w:rsidP="0012362D">
            <w:pPr>
              <w:jc w:val="center"/>
              <w:rPr>
                <w:b/>
                <w:bCs/>
                <w:color w:val="000000"/>
              </w:rPr>
            </w:pPr>
            <w:r w:rsidRPr="00610E5B">
              <w:rPr>
                <w:b/>
                <w:bCs/>
                <w:color w:val="000000"/>
              </w:rPr>
              <w:t>Ghi chú</w:t>
            </w:r>
          </w:p>
        </w:tc>
      </w:tr>
      <w:tr w:rsidR="00791FAA" w:rsidRPr="009F2C4D" w:rsidTr="0012362D">
        <w:trPr>
          <w:trHeight w:val="420"/>
        </w:trPr>
        <w:tc>
          <w:tcPr>
            <w:tcW w:w="850" w:type="dxa"/>
            <w:vMerge/>
            <w:shd w:val="clear" w:color="auto" w:fill="auto"/>
            <w:hideMark/>
          </w:tcPr>
          <w:p w:rsidR="00791FAA" w:rsidRPr="00610E5B" w:rsidRDefault="00791FAA" w:rsidP="0012362D">
            <w:pPr>
              <w:jc w:val="both"/>
              <w:rPr>
                <w:b/>
                <w:bCs/>
                <w:color w:val="000000"/>
              </w:rPr>
            </w:pPr>
          </w:p>
        </w:tc>
        <w:tc>
          <w:tcPr>
            <w:tcW w:w="2541" w:type="dxa"/>
            <w:vMerge/>
            <w:shd w:val="clear" w:color="auto" w:fill="auto"/>
            <w:hideMark/>
          </w:tcPr>
          <w:p w:rsidR="00791FAA" w:rsidRPr="00610E5B" w:rsidRDefault="00791FAA" w:rsidP="0012362D">
            <w:pPr>
              <w:jc w:val="both"/>
              <w:rPr>
                <w:b/>
                <w:bCs/>
                <w:color w:val="000000"/>
              </w:rPr>
            </w:pPr>
          </w:p>
        </w:tc>
        <w:tc>
          <w:tcPr>
            <w:tcW w:w="3529" w:type="dxa"/>
            <w:vMerge/>
            <w:shd w:val="clear" w:color="auto" w:fill="auto"/>
            <w:hideMark/>
          </w:tcPr>
          <w:p w:rsidR="00791FAA" w:rsidRPr="00610E5B" w:rsidRDefault="00791FAA" w:rsidP="0012362D">
            <w:pPr>
              <w:jc w:val="both"/>
              <w:rPr>
                <w:b/>
                <w:bCs/>
                <w:color w:val="000000"/>
              </w:rPr>
            </w:pPr>
          </w:p>
        </w:tc>
        <w:tc>
          <w:tcPr>
            <w:tcW w:w="1275" w:type="dxa"/>
            <w:vMerge/>
            <w:shd w:val="clear" w:color="auto" w:fill="auto"/>
          </w:tcPr>
          <w:p w:rsidR="00791FAA" w:rsidRPr="00610E5B" w:rsidRDefault="00791FAA" w:rsidP="0012362D">
            <w:pPr>
              <w:jc w:val="both"/>
              <w:rPr>
                <w:b/>
                <w:bCs/>
                <w:color w:val="000000"/>
              </w:rPr>
            </w:pPr>
          </w:p>
        </w:tc>
        <w:tc>
          <w:tcPr>
            <w:tcW w:w="1586" w:type="dxa"/>
            <w:vMerge/>
            <w:shd w:val="clear" w:color="auto" w:fill="auto"/>
          </w:tcPr>
          <w:p w:rsidR="00791FAA" w:rsidRPr="00610E5B" w:rsidRDefault="00791FAA" w:rsidP="0012362D">
            <w:pPr>
              <w:jc w:val="both"/>
              <w:rPr>
                <w:b/>
                <w:bCs/>
                <w:color w:val="000000"/>
              </w:rPr>
            </w:pPr>
          </w:p>
        </w:tc>
      </w:tr>
      <w:tr w:rsidR="00791FAA" w:rsidRPr="009F2C4D" w:rsidTr="0012362D">
        <w:trPr>
          <w:trHeight w:val="300"/>
        </w:trPr>
        <w:tc>
          <w:tcPr>
            <w:tcW w:w="850" w:type="dxa"/>
            <w:shd w:val="clear" w:color="auto" w:fill="auto"/>
            <w:hideMark/>
          </w:tcPr>
          <w:p w:rsidR="00791FAA" w:rsidRPr="00610E5B" w:rsidRDefault="00791FAA" w:rsidP="0012362D">
            <w:pPr>
              <w:jc w:val="center"/>
              <w:rPr>
                <w:color w:val="000000"/>
              </w:rPr>
            </w:pPr>
            <w:r w:rsidRPr="00610E5B">
              <w:rPr>
                <w:color w:val="000000"/>
              </w:rPr>
              <w:t>1</w:t>
            </w:r>
          </w:p>
        </w:tc>
        <w:tc>
          <w:tcPr>
            <w:tcW w:w="2541" w:type="dxa"/>
            <w:shd w:val="clear" w:color="auto" w:fill="auto"/>
            <w:hideMark/>
          </w:tcPr>
          <w:p w:rsidR="00791FAA" w:rsidRPr="00610E5B" w:rsidRDefault="00791FAA" w:rsidP="0012362D">
            <w:pPr>
              <w:jc w:val="center"/>
              <w:rPr>
                <w:color w:val="000000"/>
              </w:rPr>
            </w:pPr>
            <w:r w:rsidRPr="00610E5B">
              <w:rPr>
                <w:color w:val="000000"/>
              </w:rPr>
              <w:t>2</w:t>
            </w:r>
          </w:p>
        </w:tc>
        <w:tc>
          <w:tcPr>
            <w:tcW w:w="3529" w:type="dxa"/>
            <w:shd w:val="clear" w:color="auto" w:fill="auto"/>
            <w:hideMark/>
          </w:tcPr>
          <w:p w:rsidR="00791FAA" w:rsidRPr="00610E5B" w:rsidRDefault="00791FAA" w:rsidP="0012362D">
            <w:pPr>
              <w:jc w:val="center"/>
              <w:rPr>
                <w:color w:val="000000"/>
              </w:rPr>
            </w:pPr>
            <w:r w:rsidRPr="00610E5B">
              <w:rPr>
                <w:color w:val="000000"/>
              </w:rPr>
              <w:t>3</w:t>
            </w:r>
          </w:p>
        </w:tc>
        <w:tc>
          <w:tcPr>
            <w:tcW w:w="1275" w:type="dxa"/>
            <w:shd w:val="clear" w:color="auto" w:fill="auto"/>
          </w:tcPr>
          <w:p w:rsidR="00791FAA" w:rsidRPr="00610E5B" w:rsidRDefault="00791FAA" w:rsidP="0012362D">
            <w:pPr>
              <w:jc w:val="center"/>
              <w:rPr>
                <w:color w:val="000000"/>
              </w:rPr>
            </w:pPr>
            <w:r w:rsidRPr="00610E5B">
              <w:rPr>
                <w:color w:val="000000"/>
              </w:rPr>
              <w:t>4</w:t>
            </w:r>
          </w:p>
        </w:tc>
        <w:tc>
          <w:tcPr>
            <w:tcW w:w="1586" w:type="dxa"/>
            <w:shd w:val="clear" w:color="auto" w:fill="auto"/>
          </w:tcPr>
          <w:p w:rsidR="00791FAA" w:rsidRPr="00610E5B" w:rsidRDefault="00791FAA" w:rsidP="0012362D">
            <w:pPr>
              <w:jc w:val="center"/>
              <w:rPr>
                <w:color w:val="000000"/>
              </w:rPr>
            </w:pPr>
            <w:r w:rsidRPr="00610E5B">
              <w:rPr>
                <w:color w:val="000000"/>
              </w:rPr>
              <w:t>5</w:t>
            </w:r>
          </w:p>
        </w:tc>
      </w:tr>
      <w:tr w:rsidR="00791FAA" w:rsidRPr="009F2C4D" w:rsidTr="0012362D">
        <w:trPr>
          <w:trHeight w:val="4015"/>
        </w:trPr>
        <w:tc>
          <w:tcPr>
            <w:tcW w:w="850" w:type="dxa"/>
            <w:shd w:val="clear" w:color="auto" w:fill="auto"/>
            <w:vAlign w:val="center"/>
            <w:hideMark/>
          </w:tcPr>
          <w:p w:rsidR="00791FAA" w:rsidRPr="00CE058E" w:rsidRDefault="00791FAA" w:rsidP="0012362D">
            <w:pPr>
              <w:jc w:val="center"/>
              <w:rPr>
                <w:iCs/>
                <w:color w:val="000000"/>
              </w:rPr>
            </w:pPr>
            <w:r w:rsidRPr="00CE058E">
              <w:rPr>
                <w:iCs/>
                <w:color w:val="000000"/>
              </w:rPr>
              <w:t>1</w:t>
            </w:r>
          </w:p>
        </w:tc>
        <w:tc>
          <w:tcPr>
            <w:tcW w:w="2541" w:type="dxa"/>
            <w:shd w:val="clear" w:color="auto" w:fill="auto"/>
            <w:vAlign w:val="center"/>
            <w:hideMark/>
          </w:tcPr>
          <w:p w:rsidR="00791FAA" w:rsidRPr="00336A70" w:rsidRDefault="00791FAA" w:rsidP="0012362D">
            <w:pPr>
              <w:jc w:val="both"/>
              <w:rPr>
                <w:iCs/>
                <w:color w:val="000000"/>
              </w:rPr>
            </w:pPr>
            <w:r w:rsidRPr="00336A70">
              <w:rPr>
                <w:iCs/>
                <w:color w:val="000000"/>
              </w:rPr>
              <w:t xml:space="preserve">Dịch vụ môi giới chuyển nhượng </w:t>
            </w:r>
            <w:r>
              <w:rPr>
                <w:lang w:val="pt-BR"/>
              </w:rPr>
              <w:t>quyền sử dụng đất đã đầu tư hạ tầng cho người dân tự xây dựng nhà ở</w:t>
            </w:r>
          </w:p>
        </w:tc>
        <w:tc>
          <w:tcPr>
            <w:tcW w:w="3529" w:type="dxa"/>
            <w:shd w:val="clear" w:color="auto" w:fill="auto"/>
            <w:hideMark/>
          </w:tcPr>
          <w:p w:rsidR="00791FAA" w:rsidRPr="00D8239F" w:rsidRDefault="00791FAA" w:rsidP="0012362D">
            <w:pPr>
              <w:jc w:val="both"/>
              <w:rPr>
                <w:sz w:val="22"/>
                <w:szCs w:val="22"/>
                <w:lang w:val="nl-NL"/>
              </w:rPr>
            </w:pPr>
            <w:r w:rsidRPr="00D8239F">
              <w:rPr>
                <w:iCs/>
                <w:color w:val="000000"/>
              </w:rPr>
              <w:t xml:space="preserve"> - </w:t>
            </w:r>
            <w:r w:rsidRPr="00D8239F">
              <w:rPr>
                <w:sz w:val="22"/>
                <w:szCs w:val="22"/>
                <w:lang w:val="nl-NL"/>
              </w:rPr>
              <w:t>Thực hiện các hoạt động marketing, quảng cáo, tiếp thị, PR sản phẩm.... với mục đích tìm kiếm, tiếp xúc khách hàng, giới thiệu và cung cấp cho khách hàng các thông tin về Chủ đầu tư, sản phẩm... để thuyết phục khách hàng nhận chuyển nhượng thành công sản phẩm của Tổng công ty HUD.</w:t>
            </w:r>
          </w:p>
          <w:p w:rsidR="00791FAA" w:rsidRPr="00D8239F" w:rsidRDefault="00791FAA" w:rsidP="0012362D">
            <w:pPr>
              <w:spacing w:line="280" w:lineRule="exact"/>
              <w:jc w:val="both"/>
              <w:rPr>
                <w:sz w:val="22"/>
                <w:szCs w:val="22"/>
                <w:lang w:val="nl-NL"/>
              </w:rPr>
            </w:pPr>
            <w:r w:rsidRPr="00D8239F">
              <w:rPr>
                <w:sz w:val="22"/>
                <w:szCs w:val="22"/>
                <w:lang w:val="nl-NL"/>
              </w:rPr>
              <w:t>- Chủ động liên hệ với các tổ chức tín dụng để phối hợp với Chủ đầu tư thực hiện các giải pháp hỗ trợ tài chính cho khách hàng mua sản phẩm</w:t>
            </w:r>
          </w:p>
          <w:p w:rsidR="00791FAA" w:rsidRPr="00D8239F" w:rsidRDefault="00791FAA" w:rsidP="0012362D">
            <w:pPr>
              <w:spacing w:line="280" w:lineRule="exact"/>
              <w:jc w:val="both"/>
              <w:rPr>
                <w:sz w:val="22"/>
                <w:szCs w:val="22"/>
              </w:rPr>
            </w:pPr>
            <w:r w:rsidRPr="00D8239F">
              <w:rPr>
                <w:sz w:val="22"/>
                <w:szCs w:val="22"/>
              </w:rPr>
              <w:t xml:space="preserve">- Môi giới </w:t>
            </w:r>
            <w:r w:rsidRPr="00D8239F">
              <w:rPr>
                <w:sz w:val="22"/>
                <w:szCs w:val="22"/>
                <w:lang w:val="nl-NL"/>
              </w:rPr>
              <w:t xml:space="preserve">chuyển nhượng các sản phẩm </w:t>
            </w:r>
            <w:r>
              <w:rPr>
                <w:sz w:val="22"/>
                <w:szCs w:val="22"/>
              </w:rPr>
              <w:t xml:space="preserve">thuộc </w:t>
            </w:r>
            <w:r>
              <w:rPr>
                <w:sz w:val="22"/>
                <w:szCs w:val="22"/>
                <w:lang w:val="vi-VN"/>
              </w:rPr>
              <w:t>75</w:t>
            </w:r>
            <w:r w:rsidRPr="00D8239F">
              <w:rPr>
                <w:sz w:val="22"/>
                <w:szCs w:val="22"/>
              </w:rPr>
              <w:t xml:space="preserve"> ô đất thấp tầng này.</w:t>
            </w:r>
          </w:p>
          <w:p w:rsidR="00791FAA" w:rsidRPr="00D8239F" w:rsidRDefault="00791FAA" w:rsidP="0012362D">
            <w:pPr>
              <w:jc w:val="both"/>
              <w:rPr>
                <w:iCs/>
                <w:color w:val="000000"/>
              </w:rPr>
            </w:pPr>
          </w:p>
        </w:tc>
        <w:tc>
          <w:tcPr>
            <w:tcW w:w="1275" w:type="dxa"/>
            <w:shd w:val="clear" w:color="auto" w:fill="auto"/>
          </w:tcPr>
          <w:p w:rsidR="00791FAA" w:rsidRPr="00D8239F" w:rsidRDefault="00791FAA" w:rsidP="0012362D">
            <w:pPr>
              <w:jc w:val="both"/>
              <w:rPr>
                <w:color w:val="000000"/>
              </w:rPr>
            </w:pPr>
          </w:p>
        </w:tc>
        <w:tc>
          <w:tcPr>
            <w:tcW w:w="1586" w:type="dxa"/>
            <w:shd w:val="clear" w:color="auto" w:fill="auto"/>
            <w:vAlign w:val="center"/>
          </w:tcPr>
          <w:p w:rsidR="00791FAA" w:rsidRPr="00D8239F" w:rsidRDefault="00791FAA" w:rsidP="0012362D">
            <w:pPr>
              <w:jc w:val="center"/>
              <w:rPr>
                <w:color w:val="000000"/>
              </w:rPr>
            </w:pPr>
            <w:r w:rsidRPr="00D8239F">
              <w:rPr>
                <w:color w:val="000000"/>
              </w:rPr>
              <w:t>% x Giá trị trước thuế của Hợp đồng chuyển nhượng</w:t>
            </w:r>
          </w:p>
        </w:tc>
      </w:tr>
      <w:tr w:rsidR="00791FAA" w:rsidRPr="009F2C4D" w:rsidTr="0012362D">
        <w:trPr>
          <w:trHeight w:val="3250"/>
        </w:trPr>
        <w:tc>
          <w:tcPr>
            <w:tcW w:w="850" w:type="dxa"/>
            <w:shd w:val="clear" w:color="auto" w:fill="auto"/>
            <w:vAlign w:val="center"/>
            <w:hideMark/>
          </w:tcPr>
          <w:p w:rsidR="00791FAA" w:rsidRPr="00CE058E" w:rsidRDefault="00791FAA" w:rsidP="0012362D">
            <w:pPr>
              <w:jc w:val="center"/>
              <w:rPr>
                <w:iCs/>
                <w:color w:val="000000"/>
              </w:rPr>
            </w:pPr>
            <w:r w:rsidRPr="00CE058E">
              <w:rPr>
                <w:iCs/>
                <w:color w:val="000000"/>
              </w:rPr>
              <w:t>2</w:t>
            </w:r>
          </w:p>
        </w:tc>
        <w:tc>
          <w:tcPr>
            <w:tcW w:w="2541" w:type="dxa"/>
            <w:shd w:val="clear" w:color="auto" w:fill="auto"/>
            <w:vAlign w:val="center"/>
            <w:hideMark/>
          </w:tcPr>
          <w:p w:rsidR="00791FAA" w:rsidRPr="00D8239F" w:rsidRDefault="00791FAA" w:rsidP="0012362D">
            <w:pPr>
              <w:jc w:val="both"/>
              <w:rPr>
                <w:iCs/>
                <w:color w:val="000000"/>
              </w:rPr>
            </w:pPr>
            <w:r w:rsidRPr="00D8239F">
              <w:rPr>
                <w:iCs/>
                <w:color w:val="000000"/>
              </w:rPr>
              <w:t xml:space="preserve">Dịch vụ quản lý hợp đồng </w:t>
            </w:r>
            <w:r w:rsidRPr="00336A70">
              <w:rPr>
                <w:iCs/>
                <w:color w:val="000000"/>
              </w:rPr>
              <w:t xml:space="preserve">chuyển nhượng </w:t>
            </w:r>
            <w:r>
              <w:rPr>
                <w:lang w:val="pt-BR"/>
              </w:rPr>
              <w:t>quyền sử dụng đất đã đầu tư hạ tầng cho người dân tự xây dựng nhà ở</w:t>
            </w:r>
          </w:p>
        </w:tc>
        <w:tc>
          <w:tcPr>
            <w:tcW w:w="3529" w:type="dxa"/>
            <w:shd w:val="clear" w:color="auto" w:fill="auto"/>
            <w:hideMark/>
          </w:tcPr>
          <w:p w:rsidR="00791FAA" w:rsidRPr="00D8239F" w:rsidRDefault="00791FAA" w:rsidP="0012362D">
            <w:pPr>
              <w:spacing w:line="280" w:lineRule="exact"/>
              <w:jc w:val="both"/>
              <w:rPr>
                <w:sz w:val="22"/>
                <w:szCs w:val="22"/>
                <w:lang w:val="nl-NL"/>
              </w:rPr>
            </w:pPr>
            <w:r w:rsidRPr="00D8239F">
              <w:rPr>
                <w:iCs/>
                <w:color w:val="000000"/>
              </w:rPr>
              <w:t> </w:t>
            </w:r>
            <w:r>
              <w:rPr>
                <w:sz w:val="22"/>
                <w:szCs w:val="22"/>
                <w:lang w:val="nl-NL"/>
              </w:rPr>
              <w:t xml:space="preserve">- </w:t>
            </w:r>
            <w:r w:rsidRPr="00D8239F">
              <w:rPr>
                <w:sz w:val="22"/>
                <w:szCs w:val="22"/>
                <w:lang w:val="nl-NL"/>
              </w:rPr>
              <w:t>Lập Hợp đồng chuyển nhượng quyền sử dụng đất theo mẫu do Chủ đầu tư ban hành để khách hàng ký kết Hợp đồng và chuyển Hợp đồng cho Ban quản lý dự án số 5 kiểm tra và trình ký theo quy định của HUD.</w:t>
            </w:r>
          </w:p>
          <w:p w:rsidR="00791FAA" w:rsidRDefault="00791FAA" w:rsidP="0012362D">
            <w:pPr>
              <w:spacing w:line="280" w:lineRule="exact"/>
              <w:jc w:val="both"/>
              <w:rPr>
                <w:sz w:val="22"/>
                <w:szCs w:val="22"/>
                <w:lang w:val="nl-NL"/>
              </w:rPr>
            </w:pPr>
            <w:r w:rsidRPr="00D8239F">
              <w:rPr>
                <w:sz w:val="22"/>
                <w:szCs w:val="22"/>
                <w:lang w:val="nl-NL"/>
              </w:rPr>
              <w:t>-Bàn giao 01 bản Hợp đồng gốc cho khách hàng khi khách hàng đã hoàn thiện nghĩa vụ tài chính Đợt 1 của Hợp đồng, theo dõi và đôn đốc khách hàng nộp tiền theo tiến độ Hợp đồng.</w:t>
            </w:r>
          </w:p>
          <w:p w:rsidR="00791FAA" w:rsidRPr="00D8239F" w:rsidRDefault="00791FAA" w:rsidP="0012362D">
            <w:pPr>
              <w:spacing w:line="280" w:lineRule="exact"/>
              <w:jc w:val="both"/>
              <w:rPr>
                <w:sz w:val="22"/>
                <w:szCs w:val="22"/>
                <w:lang w:val="nl-NL"/>
              </w:rPr>
            </w:pPr>
            <w:r>
              <w:rPr>
                <w:sz w:val="22"/>
                <w:szCs w:val="22"/>
                <w:lang w:val="nl-NL"/>
              </w:rPr>
              <w:t xml:space="preserve"> - </w:t>
            </w:r>
            <w:r w:rsidRPr="00800468">
              <w:rPr>
                <w:sz w:val="22"/>
                <w:szCs w:val="22"/>
                <w:lang w:val="nl-NL"/>
              </w:rPr>
              <w:t>Thực hiện đăng ký biến động giấy chứng nhận từ Chủ đầu tư sang khách hàng đối với khách hàng đủ điều kiện.</w:t>
            </w:r>
          </w:p>
        </w:tc>
        <w:tc>
          <w:tcPr>
            <w:tcW w:w="1275" w:type="dxa"/>
            <w:shd w:val="clear" w:color="auto" w:fill="auto"/>
          </w:tcPr>
          <w:p w:rsidR="00791FAA" w:rsidRPr="00D8239F" w:rsidRDefault="00791FAA" w:rsidP="0012362D">
            <w:pPr>
              <w:jc w:val="both"/>
              <w:rPr>
                <w:color w:val="000000"/>
              </w:rPr>
            </w:pPr>
          </w:p>
        </w:tc>
        <w:tc>
          <w:tcPr>
            <w:tcW w:w="1586" w:type="dxa"/>
            <w:shd w:val="clear" w:color="auto" w:fill="auto"/>
            <w:vAlign w:val="center"/>
          </w:tcPr>
          <w:p w:rsidR="00791FAA" w:rsidRPr="00D8239F" w:rsidRDefault="00791FAA" w:rsidP="0012362D">
            <w:pPr>
              <w:jc w:val="center"/>
              <w:rPr>
                <w:color w:val="000000"/>
              </w:rPr>
            </w:pPr>
            <w:r w:rsidRPr="00800468">
              <w:rPr>
                <w:color w:val="000000"/>
              </w:rPr>
              <w:t>% x Giá trị trước thuế của Hợp đồng chuyển nhượng</w:t>
            </w:r>
          </w:p>
        </w:tc>
      </w:tr>
    </w:tbl>
    <w:p w:rsidR="00791FAA" w:rsidRDefault="00791FAA" w:rsidP="00791FAA">
      <w:pPr>
        <w:jc w:val="both"/>
        <w:rPr>
          <w:lang w:val="sv-SE"/>
        </w:rPr>
      </w:pPr>
    </w:p>
    <w:p w:rsidR="00791FAA" w:rsidRDefault="00791FAA" w:rsidP="00791FAA">
      <w:pPr>
        <w:jc w:val="both"/>
        <w:rPr>
          <w:lang w:val="sv-SE"/>
        </w:rPr>
      </w:pPr>
    </w:p>
    <w:p w:rsidR="00D30ED1" w:rsidRDefault="00D30ED1">
      <w:bookmarkStart w:id="0" w:name="_GoBack"/>
      <w:bookmarkEnd w:id="0"/>
    </w:p>
    <w:sectPr w:rsidR="00D30ED1" w:rsidSect="007232E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AA"/>
    <w:rsid w:val="007232EC"/>
    <w:rsid w:val="00791FAA"/>
    <w:rsid w:val="00D3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AA"/>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791FAA"/>
    <w:pPr>
      <w:tabs>
        <w:tab w:val="num" w:pos="720"/>
      </w:tabs>
      <w:spacing w:before="100" w:beforeAutospacing="1" w:after="100" w:afterAutospacing="1"/>
      <w:ind w:left="697" w:hanging="357"/>
    </w:pPr>
    <w:rPr>
      <w:rFonts w:ascii="Arial" w:hAnsi="Arial"/>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AA"/>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791FAA"/>
    <w:pPr>
      <w:tabs>
        <w:tab w:val="num" w:pos="720"/>
      </w:tabs>
      <w:spacing w:before="100" w:beforeAutospacing="1" w:after="100" w:afterAutospacing="1"/>
      <w:ind w:left="697" w:hanging="357"/>
    </w:pPr>
    <w:rPr>
      <w:rFonts w:ascii="Arial" w:hAnsi="Arial"/>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2022-12-28T02:48:00Z</dcterms:created>
  <dcterms:modified xsi:type="dcterms:W3CDTF">2022-12-28T02:49:00Z</dcterms:modified>
</cp:coreProperties>
</file>